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00" w:rsidRPr="008A2300" w:rsidRDefault="00622BEF" w:rsidP="0048219C">
      <w:pPr>
        <w:jc w:val="center"/>
        <w:rPr>
          <w:rFonts w:ascii="標楷體" w:eastAsia="標楷體" w:hAnsi="標楷體"/>
          <w:b/>
          <w:sz w:val="36"/>
          <w:szCs w:val="36"/>
        </w:rPr>
      </w:pPr>
      <w:r w:rsidRPr="008A2300">
        <w:rPr>
          <w:rFonts w:ascii="標楷體" w:eastAsia="標楷體" w:hAnsi="標楷體" w:hint="eastAsia"/>
          <w:b/>
          <w:sz w:val="36"/>
          <w:szCs w:val="36"/>
        </w:rPr>
        <w:t>康寧學校財團法人康寧大學</w:t>
      </w:r>
    </w:p>
    <w:p w:rsidR="00622BEF" w:rsidRPr="008A2300" w:rsidRDefault="00622BEF" w:rsidP="0048219C">
      <w:pPr>
        <w:jc w:val="center"/>
        <w:rPr>
          <w:rFonts w:ascii="標楷體" w:eastAsia="標楷體" w:hAnsi="標楷體"/>
          <w:b/>
          <w:sz w:val="36"/>
          <w:szCs w:val="36"/>
        </w:rPr>
      </w:pPr>
      <w:r w:rsidRPr="008A2300">
        <w:rPr>
          <w:rFonts w:ascii="標楷體" w:eastAsia="標楷體" w:hAnsi="標楷體" w:hint="eastAsia"/>
          <w:b/>
          <w:sz w:val="36"/>
          <w:szCs w:val="36"/>
        </w:rPr>
        <w:t>應用外語學系英語能力畢業資格檢定暨實施要點</w:t>
      </w:r>
    </w:p>
    <w:p w:rsidR="00622BEF" w:rsidRPr="008A2300" w:rsidRDefault="009873BD" w:rsidP="0048219C">
      <w:pPr>
        <w:jc w:val="right"/>
        <w:rPr>
          <w:rFonts w:ascii="標楷體" w:eastAsia="標楷體" w:hAnsi="標楷體"/>
          <w:bCs/>
          <w:kern w:val="0"/>
          <w:sz w:val="20"/>
          <w:szCs w:val="20"/>
        </w:rPr>
      </w:pPr>
      <w:r w:rsidRPr="008A2300">
        <w:rPr>
          <w:rFonts w:ascii="標楷體" w:eastAsia="標楷體" w:hAnsi="標楷體"/>
          <w:kern w:val="0"/>
          <w:sz w:val="20"/>
          <w:szCs w:val="20"/>
        </w:rPr>
        <w:t xml:space="preserve"> </w:t>
      </w:r>
      <w:r w:rsidR="00622BEF" w:rsidRPr="008A2300">
        <w:rPr>
          <w:rFonts w:ascii="標楷體" w:eastAsia="標楷體" w:hAnsi="標楷體"/>
          <w:kern w:val="0"/>
          <w:sz w:val="20"/>
          <w:szCs w:val="20"/>
        </w:rPr>
        <w:t>(101.06.15) 100</w:t>
      </w:r>
      <w:r w:rsidR="00622BEF" w:rsidRPr="008A2300">
        <w:rPr>
          <w:rFonts w:ascii="標楷體" w:eastAsia="標楷體" w:hAnsi="標楷體" w:hint="eastAsia"/>
          <w:kern w:val="0"/>
          <w:sz w:val="20"/>
          <w:szCs w:val="20"/>
        </w:rPr>
        <w:t>學年度第</w:t>
      </w:r>
      <w:r w:rsidR="00622BEF" w:rsidRPr="008A2300">
        <w:rPr>
          <w:rFonts w:ascii="標楷體" w:eastAsia="標楷體" w:hAnsi="標楷體"/>
          <w:kern w:val="0"/>
          <w:sz w:val="20"/>
          <w:szCs w:val="20"/>
        </w:rPr>
        <w:t>2</w:t>
      </w:r>
      <w:r w:rsidR="00622BEF" w:rsidRPr="008A2300">
        <w:rPr>
          <w:rFonts w:ascii="標楷體" w:eastAsia="標楷體" w:hAnsi="標楷體" w:hint="eastAsia"/>
          <w:kern w:val="0"/>
          <w:sz w:val="20"/>
          <w:szCs w:val="20"/>
        </w:rPr>
        <w:t>學期第</w:t>
      </w:r>
      <w:r w:rsidR="00622BEF" w:rsidRPr="008A2300">
        <w:rPr>
          <w:rFonts w:ascii="標楷體" w:eastAsia="標楷體" w:hAnsi="標楷體"/>
          <w:kern w:val="0"/>
          <w:sz w:val="20"/>
          <w:szCs w:val="20"/>
        </w:rPr>
        <w:t>4</w:t>
      </w:r>
      <w:r w:rsidR="00622BEF" w:rsidRPr="008A2300">
        <w:rPr>
          <w:rFonts w:ascii="標楷體" w:eastAsia="標楷體" w:hAnsi="標楷體" w:hint="eastAsia"/>
          <w:kern w:val="0"/>
          <w:sz w:val="20"/>
          <w:szCs w:val="20"/>
        </w:rPr>
        <w:t>次系</w:t>
      </w:r>
      <w:proofErr w:type="gramStart"/>
      <w:r w:rsidR="00622BEF" w:rsidRPr="008A2300">
        <w:rPr>
          <w:rFonts w:ascii="標楷體" w:eastAsia="標楷體" w:hAnsi="標楷體" w:hint="eastAsia"/>
          <w:kern w:val="0"/>
          <w:sz w:val="20"/>
          <w:szCs w:val="20"/>
        </w:rPr>
        <w:t>務</w:t>
      </w:r>
      <w:proofErr w:type="gramEnd"/>
      <w:r w:rsidR="00622BEF" w:rsidRPr="008A2300">
        <w:rPr>
          <w:rFonts w:ascii="標楷體" w:eastAsia="標楷體" w:hAnsi="標楷體" w:hint="eastAsia"/>
          <w:kern w:val="0"/>
          <w:sz w:val="20"/>
          <w:szCs w:val="20"/>
        </w:rPr>
        <w:t>會議通過</w:t>
      </w:r>
    </w:p>
    <w:p w:rsidR="00622BEF" w:rsidRPr="008A2300" w:rsidRDefault="00622BEF" w:rsidP="0048219C">
      <w:pPr>
        <w:jc w:val="right"/>
        <w:rPr>
          <w:rFonts w:ascii="標楷體" w:eastAsia="標楷體" w:hAnsi="標楷體"/>
          <w:bCs/>
          <w:kern w:val="0"/>
          <w:sz w:val="20"/>
          <w:szCs w:val="20"/>
        </w:rPr>
      </w:pPr>
      <w:r w:rsidRPr="008A2300">
        <w:rPr>
          <w:rFonts w:ascii="標楷體" w:eastAsia="標楷體" w:hAnsi="標楷體"/>
          <w:sz w:val="20"/>
          <w:szCs w:val="20"/>
        </w:rPr>
        <w:t xml:space="preserve">                           </w:t>
      </w:r>
      <w:r w:rsidRPr="008A2300">
        <w:rPr>
          <w:rFonts w:ascii="標楷體" w:eastAsia="標楷體" w:hAnsi="標楷體"/>
          <w:kern w:val="0"/>
          <w:sz w:val="20"/>
          <w:szCs w:val="20"/>
        </w:rPr>
        <w:t>(100.07.07) 99</w:t>
      </w:r>
      <w:r w:rsidRPr="008A2300">
        <w:rPr>
          <w:rFonts w:ascii="標楷體" w:eastAsia="標楷體" w:hAnsi="標楷體" w:hint="eastAsia"/>
          <w:kern w:val="0"/>
          <w:sz w:val="20"/>
          <w:szCs w:val="20"/>
        </w:rPr>
        <w:t>學年度第</w:t>
      </w:r>
      <w:r w:rsidRPr="008A2300">
        <w:rPr>
          <w:rFonts w:ascii="標楷體" w:eastAsia="標楷體" w:hAnsi="標楷體"/>
          <w:kern w:val="0"/>
          <w:sz w:val="20"/>
          <w:szCs w:val="20"/>
        </w:rPr>
        <w:t>2</w:t>
      </w:r>
      <w:r w:rsidRPr="008A2300">
        <w:rPr>
          <w:rFonts w:ascii="標楷體" w:eastAsia="標楷體" w:hAnsi="標楷體" w:hint="eastAsia"/>
          <w:kern w:val="0"/>
          <w:sz w:val="20"/>
          <w:szCs w:val="20"/>
        </w:rPr>
        <w:t>學期第</w:t>
      </w:r>
      <w:r w:rsidRPr="008A2300">
        <w:rPr>
          <w:rFonts w:ascii="標楷體" w:eastAsia="標楷體" w:hAnsi="標楷體"/>
          <w:kern w:val="0"/>
          <w:sz w:val="20"/>
          <w:szCs w:val="20"/>
        </w:rPr>
        <w:t>7</w:t>
      </w:r>
      <w:r w:rsidRPr="008A2300">
        <w:rPr>
          <w:rFonts w:ascii="標楷體" w:eastAsia="標楷體" w:hAnsi="標楷體" w:hint="eastAsia"/>
          <w:kern w:val="0"/>
          <w:sz w:val="20"/>
          <w:szCs w:val="20"/>
        </w:rPr>
        <w:t>次系</w:t>
      </w:r>
      <w:proofErr w:type="gramStart"/>
      <w:r w:rsidRPr="008A2300">
        <w:rPr>
          <w:rFonts w:ascii="標楷體" w:eastAsia="標楷體" w:hAnsi="標楷體" w:hint="eastAsia"/>
          <w:kern w:val="0"/>
          <w:sz w:val="20"/>
          <w:szCs w:val="20"/>
        </w:rPr>
        <w:t>務</w:t>
      </w:r>
      <w:proofErr w:type="gramEnd"/>
      <w:r w:rsidRPr="008A2300">
        <w:rPr>
          <w:rFonts w:ascii="標楷體" w:eastAsia="標楷體" w:hAnsi="標楷體" w:hint="eastAsia"/>
          <w:kern w:val="0"/>
          <w:sz w:val="20"/>
          <w:szCs w:val="20"/>
        </w:rPr>
        <w:t>會議通過</w:t>
      </w:r>
    </w:p>
    <w:p w:rsidR="00622BEF" w:rsidRPr="008A2300" w:rsidRDefault="00622BEF" w:rsidP="0048219C">
      <w:pPr>
        <w:autoSpaceDE w:val="0"/>
        <w:autoSpaceDN w:val="0"/>
        <w:ind w:firstLineChars="1300" w:firstLine="2600"/>
        <w:jc w:val="right"/>
        <w:rPr>
          <w:rFonts w:ascii="標楷體" w:eastAsia="標楷體" w:hAnsi="標楷體" w:cs="DFKaiShu-SB-Estd-BF"/>
          <w:kern w:val="0"/>
          <w:sz w:val="20"/>
          <w:szCs w:val="20"/>
        </w:rPr>
      </w:pPr>
      <w:r w:rsidRPr="008A2300">
        <w:rPr>
          <w:rFonts w:ascii="標楷體" w:eastAsia="標楷體" w:hAnsi="標楷體" w:cs="DFKaiShu-SB-Estd-BF"/>
          <w:kern w:val="0"/>
          <w:sz w:val="20"/>
          <w:szCs w:val="20"/>
        </w:rPr>
        <w:t>(99.01.11)</w:t>
      </w:r>
      <w:r w:rsidRPr="008A2300">
        <w:rPr>
          <w:rFonts w:ascii="標楷體" w:eastAsia="標楷體" w:hAnsi="標楷體" w:cs="DFKaiShu-SB-Estd-BF" w:hint="eastAsia"/>
          <w:kern w:val="0"/>
          <w:sz w:val="20"/>
          <w:szCs w:val="20"/>
        </w:rPr>
        <w:t>九十八學年度第一學期第五次系</w:t>
      </w:r>
      <w:r w:rsidRPr="008A2300">
        <w:rPr>
          <w:rFonts w:ascii="標楷體" w:eastAsia="標楷體" w:hAnsi="標楷體" w:cs="DFKaiShu-SB-Estd-BF"/>
          <w:kern w:val="0"/>
          <w:sz w:val="20"/>
          <w:szCs w:val="20"/>
        </w:rPr>
        <w:t>(</w:t>
      </w:r>
      <w:r w:rsidRPr="008A2300">
        <w:rPr>
          <w:rFonts w:ascii="標楷體" w:eastAsia="標楷體" w:hAnsi="標楷體" w:cs="DFKaiShu-SB-Estd-BF" w:hint="eastAsia"/>
          <w:kern w:val="0"/>
          <w:sz w:val="20"/>
          <w:szCs w:val="20"/>
        </w:rPr>
        <w:t>所</w:t>
      </w:r>
      <w:r w:rsidRPr="008A2300">
        <w:rPr>
          <w:rFonts w:ascii="標楷體" w:eastAsia="標楷體" w:hAnsi="標楷體" w:cs="DFKaiShu-SB-Estd-BF"/>
          <w:kern w:val="0"/>
          <w:sz w:val="20"/>
          <w:szCs w:val="20"/>
        </w:rPr>
        <w:t>)</w:t>
      </w:r>
      <w:proofErr w:type="gramStart"/>
      <w:r w:rsidRPr="008A2300">
        <w:rPr>
          <w:rFonts w:ascii="標楷體" w:eastAsia="標楷體" w:hAnsi="標楷體" w:cs="DFKaiShu-SB-Estd-BF" w:hint="eastAsia"/>
          <w:kern w:val="0"/>
          <w:sz w:val="20"/>
          <w:szCs w:val="20"/>
        </w:rPr>
        <w:t>務</w:t>
      </w:r>
      <w:proofErr w:type="gramEnd"/>
      <w:r w:rsidRPr="008A2300">
        <w:rPr>
          <w:rFonts w:ascii="標楷體" w:eastAsia="標楷體" w:hAnsi="標楷體" w:cs="DFKaiShu-SB-Estd-BF" w:hint="eastAsia"/>
          <w:kern w:val="0"/>
          <w:sz w:val="20"/>
          <w:szCs w:val="20"/>
        </w:rPr>
        <w:t>會議修正通過</w:t>
      </w:r>
    </w:p>
    <w:p w:rsidR="00622BEF" w:rsidRPr="008A2300" w:rsidRDefault="00622BEF" w:rsidP="0048219C">
      <w:pPr>
        <w:autoSpaceDE w:val="0"/>
        <w:autoSpaceDN w:val="0"/>
        <w:ind w:firstLineChars="1350" w:firstLine="2700"/>
        <w:jc w:val="right"/>
        <w:rPr>
          <w:rFonts w:ascii="標楷體" w:eastAsia="標楷體" w:hAnsi="標楷體" w:cs="DFKaiShu-SB-Estd-BF"/>
          <w:kern w:val="0"/>
          <w:sz w:val="20"/>
          <w:szCs w:val="20"/>
        </w:rPr>
      </w:pPr>
      <w:r w:rsidRPr="008A2300">
        <w:rPr>
          <w:rFonts w:ascii="標楷體" w:eastAsia="標楷體" w:hAnsi="標楷體" w:cs="DFKaiShu-SB-Estd-BF"/>
          <w:kern w:val="0"/>
          <w:sz w:val="20"/>
          <w:szCs w:val="20"/>
        </w:rPr>
        <w:t>(97.06.23)</w:t>
      </w:r>
      <w:r w:rsidRPr="008A2300">
        <w:rPr>
          <w:rFonts w:ascii="標楷體" w:eastAsia="標楷體" w:hAnsi="標楷體" w:cs="DFKaiShu-SB-Estd-BF" w:hint="eastAsia"/>
          <w:kern w:val="0"/>
          <w:sz w:val="20"/>
          <w:szCs w:val="20"/>
        </w:rPr>
        <w:t>九十六學年度第二學期第三次系</w:t>
      </w:r>
      <w:r w:rsidRPr="008A2300">
        <w:rPr>
          <w:rFonts w:ascii="標楷體" w:eastAsia="標楷體" w:hAnsi="標楷體" w:cs="DFKaiShu-SB-Estd-BF"/>
          <w:kern w:val="0"/>
          <w:sz w:val="20"/>
          <w:szCs w:val="20"/>
        </w:rPr>
        <w:t>(</w:t>
      </w:r>
      <w:r w:rsidRPr="008A2300">
        <w:rPr>
          <w:rFonts w:ascii="標楷體" w:eastAsia="標楷體" w:hAnsi="標楷體" w:cs="DFKaiShu-SB-Estd-BF" w:hint="eastAsia"/>
          <w:kern w:val="0"/>
          <w:sz w:val="20"/>
          <w:szCs w:val="20"/>
        </w:rPr>
        <w:t>所</w:t>
      </w:r>
      <w:r w:rsidRPr="008A2300">
        <w:rPr>
          <w:rFonts w:ascii="標楷體" w:eastAsia="標楷體" w:hAnsi="標楷體" w:cs="DFKaiShu-SB-Estd-BF"/>
          <w:kern w:val="0"/>
          <w:sz w:val="20"/>
          <w:szCs w:val="20"/>
        </w:rPr>
        <w:t>)</w:t>
      </w:r>
      <w:proofErr w:type="gramStart"/>
      <w:r w:rsidRPr="008A2300">
        <w:rPr>
          <w:rFonts w:ascii="標楷體" w:eastAsia="標楷體" w:hAnsi="標楷體" w:cs="DFKaiShu-SB-Estd-BF" w:hint="eastAsia"/>
          <w:kern w:val="0"/>
          <w:sz w:val="20"/>
          <w:szCs w:val="20"/>
        </w:rPr>
        <w:t>務</w:t>
      </w:r>
      <w:proofErr w:type="gramEnd"/>
      <w:r w:rsidRPr="008A2300">
        <w:rPr>
          <w:rFonts w:ascii="標楷體" w:eastAsia="標楷體" w:hAnsi="標楷體" w:cs="DFKaiShu-SB-Estd-BF" w:hint="eastAsia"/>
          <w:kern w:val="0"/>
          <w:sz w:val="20"/>
          <w:szCs w:val="20"/>
        </w:rPr>
        <w:t>會議修正通過</w:t>
      </w:r>
    </w:p>
    <w:p w:rsidR="00622BEF" w:rsidRPr="008A2300" w:rsidRDefault="00622BEF" w:rsidP="0048219C">
      <w:pPr>
        <w:jc w:val="right"/>
        <w:rPr>
          <w:rFonts w:ascii="標楷體" w:eastAsia="標楷體" w:hAnsi="標楷體"/>
          <w:sz w:val="20"/>
          <w:szCs w:val="20"/>
        </w:rPr>
      </w:pPr>
      <w:r w:rsidRPr="008A2300">
        <w:rPr>
          <w:rFonts w:ascii="標楷體" w:eastAsia="標楷體" w:hAnsi="標楷體"/>
          <w:sz w:val="20"/>
          <w:szCs w:val="20"/>
        </w:rPr>
        <w:t xml:space="preserve">                               (94.11.15)</w:t>
      </w:r>
      <w:r w:rsidRPr="008A2300">
        <w:rPr>
          <w:rFonts w:ascii="標楷體" w:eastAsia="標楷體" w:hAnsi="標楷體" w:hint="eastAsia"/>
          <w:sz w:val="20"/>
          <w:szCs w:val="20"/>
        </w:rPr>
        <w:t>九十四學年度第一學期第二次系</w:t>
      </w:r>
      <w:proofErr w:type="gramStart"/>
      <w:r w:rsidRPr="008A2300">
        <w:rPr>
          <w:rFonts w:ascii="標楷體" w:eastAsia="標楷體" w:hAnsi="標楷體" w:hint="eastAsia"/>
          <w:sz w:val="20"/>
          <w:szCs w:val="20"/>
        </w:rPr>
        <w:t>務</w:t>
      </w:r>
      <w:proofErr w:type="gramEnd"/>
      <w:r w:rsidRPr="008A2300">
        <w:rPr>
          <w:rFonts w:ascii="標楷體" w:eastAsia="標楷體" w:hAnsi="標楷體" w:hint="eastAsia"/>
          <w:sz w:val="20"/>
          <w:szCs w:val="20"/>
        </w:rPr>
        <w:t>會議修正通過</w:t>
      </w:r>
    </w:p>
    <w:p w:rsidR="00622BEF" w:rsidRPr="008A2300" w:rsidRDefault="00622BEF" w:rsidP="0048219C">
      <w:pPr>
        <w:jc w:val="right"/>
        <w:rPr>
          <w:rFonts w:ascii="標楷體" w:eastAsia="標楷體" w:hAnsi="標楷體"/>
          <w:sz w:val="20"/>
          <w:szCs w:val="20"/>
        </w:rPr>
      </w:pPr>
      <w:r w:rsidRPr="008A2300">
        <w:rPr>
          <w:rFonts w:ascii="標楷體" w:eastAsia="標楷體" w:hAnsi="標楷體"/>
          <w:sz w:val="20"/>
          <w:szCs w:val="20"/>
        </w:rPr>
        <w:t>(93.06.28)</w:t>
      </w:r>
      <w:r w:rsidRPr="008A2300">
        <w:rPr>
          <w:rFonts w:ascii="標楷體" w:eastAsia="標楷體" w:hAnsi="標楷體" w:hint="eastAsia"/>
          <w:sz w:val="20"/>
          <w:szCs w:val="20"/>
        </w:rPr>
        <w:t>九十三學年度第二學期第一次系</w:t>
      </w:r>
      <w:proofErr w:type="gramStart"/>
      <w:r w:rsidRPr="008A2300">
        <w:rPr>
          <w:rFonts w:ascii="標楷體" w:eastAsia="標楷體" w:hAnsi="標楷體" w:hint="eastAsia"/>
          <w:sz w:val="20"/>
          <w:szCs w:val="20"/>
        </w:rPr>
        <w:t>務</w:t>
      </w:r>
      <w:proofErr w:type="gramEnd"/>
      <w:r w:rsidRPr="008A2300">
        <w:rPr>
          <w:rFonts w:ascii="標楷體" w:eastAsia="標楷體" w:hAnsi="標楷體" w:hint="eastAsia"/>
          <w:sz w:val="20"/>
          <w:szCs w:val="20"/>
        </w:rPr>
        <w:t>會議通過</w:t>
      </w:r>
    </w:p>
    <w:p w:rsidR="00622BEF" w:rsidRPr="008A2300" w:rsidRDefault="00622BEF" w:rsidP="0048219C">
      <w:pPr>
        <w:widowControl/>
        <w:ind w:left="480" w:hangingChars="200" w:hanging="480"/>
        <w:rPr>
          <w:rFonts w:ascii="標楷體" w:eastAsia="標楷體" w:hAnsi="標楷體"/>
          <w:kern w:val="0"/>
        </w:rPr>
      </w:pPr>
      <w:r w:rsidRPr="008A2300">
        <w:rPr>
          <w:rFonts w:ascii="標楷體" w:eastAsia="標楷體" w:hAnsi="標楷體" w:hint="eastAsia"/>
          <w:kern w:val="0"/>
        </w:rPr>
        <w:t>一、為使學生了解本身的英文能力並協助學生於畢業前達到相當英文程度，以增加其競爭力，特訂定本要點。</w:t>
      </w:r>
    </w:p>
    <w:p w:rsidR="00622BEF" w:rsidRPr="008A2300" w:rsidRDefault="00622BEF" w:rsidP="0048219C">
      <w:pPr>
        <w:widowControl/>
        <w:rPr>
          <w:rFonts w:ascii="標楷體" w:eastAsia="標楷體" w:hAnsi="標楷體"/>
          <w:kern w:val="0"/>
        </w:rPr>
      </w:pPr>
      <w:r w:rsidRPr="008A2300">
        <w:rPr>
          <w:rFonts w:ascii="標楷體" w:eastAsia="標楷體" w:hAnsi="標楷體" w:hint="eastAsia"/>
          <w:kern w:val="0"/>
        </w:rPr>
        <w:t>二、本辦法適用對象為本系應英組大學部日間班學生。</w:t>
      </w:r>
    </w:p>
    <w:p w:rsidR="00622BEF" w:rsidRPr="008A2300" w:rsidRDefault="00622BEF" w:rsidP="0048219C">
      <w:pPr>
        <w:widowControl/>
        <w:ind w:left="480" w:hangingChars="200" w:hanging="480"/>
        <w:rPr>
          <w:rFonts w:ascii="標楷體" w:eastAsia="標楷體" w:hAnsi="標楷體" w:cs="新細明體"/>
          <w:kern w:val="0"/>
        </w:rPr>
      </w:pPr>
      <w:r w:rsidRPr="008A2300">
        <w:rPr>
          <w:rFonts w:ascii="標楷體" w:eastAsia="標楷體" w:hAnsi="標楷體" w:cs="新細明體" w:hint="eastAsia"/>
          <w:kern w:val="0"/>
        </w:rPr>
        <w:t>三、本系大學部日間班學生於規定年限內，</w:t>
      </w:r>
      <w:proofErr w:type="gramStart"/>
      <w:r w:rsidRPr="008A2300">
        <w:rPr>
          <w:rFonts w:ascii="標楷體" w:eastAsia="標楷體" w:hAnsi="標楷體" w:cs="新細明體" w:hint="eastAsia"/>
          <w:kern w:val="0"/>
        </w:rPr>
        <w:t>除修習</w:t>
      </w:r>
      <w:proofErr w:type="gramEnd"/>
      <w:r w:rsidRPr="008A2300">
        <w:rPr>
          <w:rFonts w:ascii="標楷體" w:eastAsia="標楷體" w:hAnsi="標楷體" w:cs="新細明體" w:hint="eastAsia"/>
          <w:kern w:val="0"/>
        </w:rPr>
        <w:t>本系應修學分外，「英語能力」必須通過本要點規定之檢定標準，方具備畢業資格。</w:t>
      </w:r>
    </w:p>
    <w:p w:rsidR="00622BEF" w:rsidRPr="008A2300" w:rsidRDefault="00622BEF" w:rsidP="0048219C">
      <w:pPr>
        <w:widowControl/>
        <w:numPr>
          <w:ilvl w:val="0"/>
          <w:numId w:val="40"/>
        </w:numPr>
        <w:rPr>
          <w:rFonts w:ascii="標楷體" w:eastAsia="標楷體" w:hAnsi="標楷體" w:cs="新細明體"/>
          <w:kern w:val="0"/>
        </w:rPr>
      </w:pPr>
      <w:r w:rsidRPr="008A2300">
        <w:rPr>
          <w:rFonts w:ascii="標楷體" w:eastAsia="標楷體" w:hAnsi="標楷體" w:cs="新細明體" w:hint="eastAsia"/>
          <w:kern w:val="0"/>
        </w:rPr>
        <w:t>「英語能力」檢定方式分為三種</w:t>
      </w:r>
      <w:r w:rsidRPr="008A2300">
        <w:rPr>
          <w:rFonts w:ascii="標楷體" w:eastAsia="標楷體" w:hAnsi="標楷體" w:cs="新細明體"/>
          <w:kern w:val="0"/>
        </w:rPr>
        <w:t>:</w:t>
      </w:r>
    </w:p>
    <w:p w:rsidR="00622BEF" w:rsidRPr="008A2300" w:rsidRDefault="00622BEF" w:rsidP="0048219C">
      <w:pPr>
        <w:widowControl/>
        <w:ind w:leftChars="235" w:left="989" w:hangingChars="177" w:hanging="425"/>
        <w:rPr>
          <w:rFonts w:ascii="標楷體" w:eastAsia="標楷體" w:hAnsi="標楷體"/>
          <w:kern w:val="0"/>
        </w:rPr>
      </w:pPr>
      <w:r w:rsidRPr="008A2300">
        <w:rPr>
          <w:rFonts w:ascii="標楷體" w:eastAsia="標楷體" w:hAnsi="標楷體" w:cs="新細明體"/>
          <w:kern w:val="0"/>
        </w:rPr>
        <w:t>(</w:t>
      </w:r>
      <w:r w:rsidRPr="008A2300">
        <w:rPr>
          <w:rFonts w:ascii="標楷體" w:eastAsia="標楷體" w:hAnsi="標楷體" w:cs="新細明體" w:hint="eastAsia"/>
          <w:kern w:val="0"/>
        </w:rPr>
        <w:t>一</w:t>
      </w:r>
      <w:r w:rsidRPr="008A2300">
        <w:rPr>
          <w:rFonts w:ascii="標楷體" w:eastAsia="標楷體" w:hAnsi="標楷體" w:cs="新細明體"/>
          <w:kern w:val="0"/>
        </w:rPr>
        <w:t>)</w:t>
      </w:r>
      <w:r w:rsidRPr="008A2300">
        <w:rPr>
          <w:rFonts w:ascii="標楷體" w:eastAsia="標楷體" w:hAnsi="標楷體" w:cs="新細明體" w:hint="eastAsia"/>
          <w:kern w:val="0"/>
        </w:rPr>
        <w:t>本系大學部日間班應英組學生應於畢業前參加</w:t>
      </w:r>
      <w:r w:rsidRPr="008A2300">
        <w:rPr>
          <w:rFonts w:ascii="標楷體" w:eastAsia="標楷體" w:hAnsi="標楷體" w:hint="eastAsia"/>
          <w:kern w:val="0"/>
        </w:rPr>
        <w:t>校外具公信力之英文能力檢定，對應「</w:t>
      </w:r>
      <w:r w:rsidRPr="008A2300">
        <w:rPr>
          <w:rFonts w:ascii="標楷體" w:eastAsia="標楷體" w:hAnsi="標楷體" w:cs="Arial" w:hint="eastAsia"/>
          <w:szCs w:val="20"/>
        </w:rPr>
        <w:t>歐洲語言學習、教學、評量共同參考架構</w:t>
      </w:r>
      <w:r w:rsidRPr="008A2300">
        <w:rPr>
          <w:rFonts w:ascii="標楷體" w:eastAsia="標楷體" w:hAnsi="標楷體" w:hint="eastAsia"/>
          <w:kern w:val="0"/>
        </w:rPr>
        <w:t>」</w:t>
      </w:r>
      <w:r w:rsidRPr="008A2300">
        <w:rPr>
          <w:rFonts w:ascii="標楷體" w:eastAsia="標楷體" w:hAnsi="標楷體"/>
          <w:kern w:val="0"/>
        </w:rPr>
        <w:t xml:space="preserve"> (</w:t>
      </w:r>
      <w:r w:rsidRPr="008A2300">
        <w:rPr>
          <w:rFonts w:ascii="標楷體" w:eastAsia="標楷體" w:hAnsi="標楷體"/>
        </w:rPr>
        <w:t>Common European Framework of Reference for Languages) B1(</w:t>
      </w:r>
      <w:r w:rsidRPr="008A2300">
        <w:rPr>
          <w:rFonts w:ascii="標楷體" w:eastAsia="標楷體" w:hAnsi="標楷體" w:hint="eastAsia"/>
        </w:rPr>
        <w:t>進階級</w:t>
      </w:r>
      <w:r w:rsidRPr="008A2300">
        <w:rPr>
          <w:rFonts w:ascii="標楷體" w:eastAsia="標楷體" w:hAnsi="標楷體"/>
        </w:rPr>
        <w:t>)</w:t>
      </w:r>
      <w:r w:rsidRPr="008A2300">
        <w:rPr>
          <w:rFonts w:ascii="標楷體" w:eastAsia="標楷體" w:hAnsi="標楷體" w:hint="eastAsia"/>
          <w:kern w:val="0"/>
        </w:rPr>
        <w:t>標準者，即通過本校英文能力檢定標準。</w:t>
      </w:r>
    </w:p>
    <w:p w:rsidR="00622BEF" w:rsidRPr="008A2300" w:rsidRDefault="00622BEF" w:rsidP="0048219C">
      <w:pPr>
        <w:widowControl/>
        <w:ind w:leftChars="235" w:left="989" w:hangingChars="177" w:hanging="425"/>
        <w:rPr>
          <w:rFonts w:ascii="標楷體" w:eastAsia="標楷體" w:hAnsi="標楷體"/>
          <w:kern w:val="0"/>
        </w:rPr>
      </w:pPr>
      <w:r w:rsidRPr="008A2300">
        <w:rPr>
          <w:rFonts w:ascii="標楷體" w:eastAsia="標楷體" w:hAnsi="標楷體"/>
          <w:kern w:val="0"/>
        </w:rPr>
        <w:t>(</w:t>
      </w:r>
      <w:r w:rsidRPr="008A2300">
        <w:rPr>
          <w:rFonts w:ascii="標楷體" w:eastAsia="標楷體" w:hAnsi="標楷體" w:hint="eastAsia"/>
          <w:kern w:val="0"/>
        </w:rPr>
        <w:t>二</w:t>
      </w:r>
      <w:r w:rsidRPr="008A2300">
        <w:rPr>
          <w:rFonts w:ascii="標楷體" w:eastAsia="標楷體" w:hAnsi="標楷體"/>
          <w:kern w:val="0"/>
        </w:rPr>
        <w:t>)</w:t>
      </w:r>
      <w:r w:rsidRPr="008A2300">
        <w:rPr>
          <w:rFonts w:ascii="標楷體" w:eastAsia="標楷體" w:hAnsi="標楷體" w:hint="eastAsia"/>
          <w:kern w:val="0"/>
        </w:rPr>
        <w:t>參加校內自辦英語能力檢定測驗，並通過</w:t>
      </w:r>
      <w:r w:rsidRPr="008A2300">
        <w:rPr>
          <w:rFonts w:ascii="標楷體" w:eastAsia="標楷體" w:hAnsi="標楷體"/>
          <w:kern w:val="0"/>
        </w:rPr>
        <w:t>B1</w:t>
      </w:r>
      <w:r w:rsidRPr="008A2300">
        <w:rPr>
          <w:rFonts w:ascii="標楷體" w:eastAsia="標楷體" w:hAnsi="標楷體"/>
        </w:rPr>
        <w:t>(</w:t>
      </w:r>
      <w:r w:rsidRPr="008A2300">
        <w:rPr>
          <w:rFonts w:ascii="標楷體" w:eastAsia="標楷體" w:hAnsi="標楷體" w:hint="eastAsia"/>
        </w:rPr>
        <w:t>進階級</w:t>
      </w:r>
      <w:r w:rsidRPr="008A2300">
        <w:rPr>
          <w:rFonts w:ascii="標楷體" w:eastAsia="標楷體" w:hAnsi="標楷體"/>
        </w:rPr>
        <w:t>)</w:t>
      </w:r>
      <w:r w:rsidRPr="008A2300">
        <w:rPr>
          <w:rFonts w:ascii="標楷體" w:eastAsia="標楷體" w:hAnsi="標楷體" w:hint="eastAsia"/>
          <w:kern w:val="0"/>
        </w:rPr>
        <w:t>者，即通過本校英文能力及格標準。</w:t>
      </w:r>
    </w:p>
    <w:p w:rsidR="00622BEF" w:rsidRPr="008A2300" w:rsidRDefault="00622BEF" w:rsidP="0048219C">
      <w:pPr>
        <w:widowControl/>
        <w:ind w:leftChars="235" w:left="989" w:hangingChars="177" w:hanging="425"/>
        <w:rPr>
          <w:rFonts w:ascii="標楷體" w:eastAsia="標楷體" w:hAnsi="標楷體"/>
          <w:kern w:val="0"/>
        </w:rPr>
      </w:pPr>
      <w:r w:rsidRPr="008A2300">
        <w:rPr>
          <w:rFonts w:ascii="標楷體" w:eastAsia="標楷體" w:hAnsi="標楷體"/>
          <w:kern w:val="0"/>
        </w:rPr>
        <w:t>(</w:t>
      </w:r>
      <w:r w:rsidRPr="008A2300">
        <w:rPr>
          <w:rFonts w:ascii="標楷體" w:eastAsia="標楷體" w:hAnsi="標楷體" w:hint="eastAsia"/>
          <w:kern w:val="0"/>
        </w:rPr>
        <w:t>三</w:t>
      </w:r>
      <w:r w:rsidRPr="008A2300">
        <w:rPr>
          <w:rFonts w:ascii="標楷體" w:eastAsia="標楷體" w:hAnsi="標楷體"/>
          <w:kern w:val="0"/>
        </w:rPr>
        <w:t>)</w:t>
      </w:r>
      <w:r w:rsidRPr="008A2300">
        <w:rPr>
          <w:rFonts w:ascii="標楷體" w:eastAsia="標楷體" w:hAnsi="標楷體" w:hint="eastAsia"/>
          <w:kern w:val="0"/>
        </w:rPr>
        <w:t>學生若未通過上述</w:t>
      </w:r>
      <w:r w:rsidRPr="008A2300">
        <w:rPr>
          <w:rFonts w:ascii="標楷體" w:eastAsia="標楷體" w:hAnsi="標楷體"/>
          <w:kern w:val="0"/>
        </w:rPr>
        <w:t>2</w:t>
      </w:r>
      <w:r w:rsidRPr="008A2300">
        <w:rPr>
          <w:rFonts w:ascii="標楷體" w:eastAsia="標楷體" w:hAnsi="標楷體" w:hint="eastAsia"/>
          <w:kern w:val="0"/>
        </w:rPr>
        <w:t>項及格標準，須參加本系自辦之「專業英語證照讀書會」，通過者視同通過本校英文能力及格標準。</w:t>
      </w:r>
    </w:p>
    <w:p w:rsidR="00622BEF" w:rsidRPr="008A2300" w:rsidRDefault="00622BEF" w:rsidP="0048219C">
      <w:pPr>
        <w:numPr>
          <w:ilvl w:val="0"/>
          <w:numId w:val="40"/>
        </w:numPr>
        <w:rPr>
          <w:rFonts w:ascii="標楷體" w:eastAsia="標楷體" w:hAnsi="標楷體"/>
          <w:kern w:val="0"/>
        </w:rPr>
      </w:pPr>
      <w:r w:rsidRPr="008A2300">
        <w:rPr>
          <w:rFonts w:ascii="標楷體" w:eastAsia="標楷體" w:hAnsi="標楷體" w:hint="eastAsia"/>
          <w:kern w:val="0"/>
        </w:rPr>
        <w:t>若未通過英文檢定測驗，且未完成「專業英語證照讀書會」之參與，得於暑假至語言中心使用</w:t>
      </w:r>
      <w:proofErr w:type="gramStart"/>
      <w:r w:rsidRPr="008A2300">
        <w:rPr>
          <w:rFonts w:ascii="標楷體" w:eastAsia="標楷體" w:hAnsi="標楷體" w:hint="eastAsia"/>
          <w:kern w:val="0"/>
        </w:rPr>
        <w:t>指定線上教材</w:t>
      </w:r>
      <w:proofErr w:type="gramEnd"/>
      <w:r w:rsidRPr="008A2300">
        <w:rPr>
          <w:rFonts w:ascii="標楷體" w:eastAsia="標楷體" w:hAnsi="標楷體"/>
          <w:kern w:val="0"/>
        </w:rPr>
        <w:t>50</w:t>
      </w:r>
      <w:r w:rsidRPr="008A2300">
        <w:rPr>
          <w:rFonts w:ascii="標楷體" w:eastAsia="標楷體" w:hAnsi="標楷體" w:hint="eastAsia"/>
          <w:kern w:val="0"/>
        </w:rPr>
        <w:t>回後，並接受測驗，測驗及格並達到畢業門檻成績，方可畢業。</w:t>
      </w:r>
    </w:p>
    <w:p w:rsidR="00622BEF" w:rsidRPr="008A2300" w:rsidRDefault="00CA00F4" w:rsidP="0048219C">
      <w:pPr>
        <w:widowControl/>
        <w:numPr>
          <w:ilvl w:val="0"/>
          <w:numId w:val="40"/>
        </w:numPr>
        <w:spacing w:before="45" w:after="45"/>
        <w:rPr>
          <w:rFonts w:ascii="標楷體" w:eastAsia="標楷體" w:hAnsi="標楷體" w:cs="新細明體"/>
          <w:kern w:val="0"/>
        </w:rPr>
      </w:pPr>
      <w:r>
        <w:rPr>
          <w:rFonts w:ascii="標楷體" w:eastAsia="標楷體" w:hAnsi="標楷體" w:hint="eastAsia"/>
          <w:color w:val="000000" w:themeColor="text1"/>
        </w:rPr>
        <w:t>本要點經</w:t>
      </w:r>
      <w:r w:rsidR="009873BD">
        <w:rPr>
          <w:rFonts w:ascii="標楷體" w:eastAsia="標楷體" w:hAnsi="標楷體" w:hint="eastAsia"/>
          <w:color w:val="000000" w:themeColor="text1"/>
        </w:rPr>
        <w:t>系</w:t>
      </w:r>
      <w:r>
        <w:rPr>
          <w:rFonts w:ascii="標楷體" w:eastAsia="標楷體" w:hAnsi="標楷體" w:hint="eastAsia"/>
          <w:color w:val="000000" w:themeColor="text1"/>
        </w:rPr>
        <w:t>務會議通過，校長核定後公佈施行，修正時亦同。</w:t>
      </w:r>
    </w:p>
    <w:p w:rsidR="00622BEF" w:rsidRPr="008A2300" w:rsidRDefault="00622BEF" w:rsidP="0048219C">
      <w:pPr>
        <w:widowControl/>
        <w:spacing w:before="45" w:after="45"/>
        <w:rPr>
          <w:rFonts w:ascii="標楷體" w:eastAsia="標楷體" w:hAnsi="標楷體" w:cs="新細明體"/>
          <w:kern w:val="0"/>
        </w:rPr>
      </w:pPr>
      <w:r w:rsidRPr="008A2300">
        <w:rPr>
          <w:rFonts w:ascii="標楷體" w:eastAsia="標楷體" w:hAnsi="標楷體" w:cs="新細明體"/>
          <w:kern w:val="0"/>
        </w:rPr>
        <w:br w:type="page"/>
      </w:r>
    </w:p>
    <w:p w:rsidR="00622BEF" w:rsidRPr="008A2300" w:rsidRDefault="00622BEF" w:rsidP="0048219C">
      <w:pPr>
        <w:widowControl/>
        <w:spacing w:before="45" w:after="45"/>
        <w:rPr>
          <w:rFonts w:ascii="標楷體" w:eastAsia="標楷體" w:hAnsi="標楷體" w:cs="新細明體"/>
          <w:kern w:val="0"/>
        </w:rPr>
      </w:pPr>
      <w:r w:rsidRPr="008A2300">
        <w:rPr>
          <w:rFonts w:ascii="標楷體" w:eastAsia="標楷體" w:hAnsi="標楷體" w:cs="新細明體" w:hint="eastAsia"/>
          <w:kern w:val="0"/>
        </w:rPr>
        <w:t>附件</w:t>
      </w:r>
      <w:r w:rsidRPr="008A2300">
        <w:rPr>
          <w:rFonts w:ascii="標楷體" w:eastAsia="標楷體" w:hAnsi="標楷體" w:cs="新細明體"/>
          <w:kern w:val="0"/>
        </w:rPr>
        <w:t>:</w:t>
      </w:r>
    </w:p>
    <w:p w:rsidR="00622BEF" w:rsidRPr="008A2300" w:rsidRDefault="00622BEF" w:rsidP="0048219C">
      <w:pPr>
        <w:widowControl/>
        <w:spacing w:before="45" w:after="45"/>
        <w:rPr>
          <w:rFonts w:ascii="標楷體" w:eastAsia="標楷體" w:hAnsi="標楷體" w:cs="新細明體"/>
          <w:kern w:val="0"/>
        </w:rPr>
      </w:pPr>
    </w:p>
    <w:p w:rsidR="00622BEF" w:rsidRPr="008A2300" w:rsidRDefault="00622BEF" w:rsidP="0048219C">
      <w:pPr>
        <w:autoSpaceDE w:val="0"/>
        <w:autoSpaceDN w:val="0"/>
        <w:jc w:val="center"/>
        <w:rPr>
          <w:rFonts w:ascii="標楷體" w:eastAsia="標楷體" w:hAnsi="標楷體" w:cs="DFKaiShu-SB-Estd-BF"/>
          <w:b/>
          <w:kern w:val="0"/>
          <w:sz w:val="28"/>
          <w:szCs w:val="28"/>
        </w:rPr>
      </w:pPr>
      <w:r w:rsidRPr="008A2300">
        <w:rPr>
          <w:rFonts w:ascii="標楷體" w:eastAsia="標楷體" w:hAnsi="標楷體" w:cs="DFKaiShu-SB-Estd-BF" w:hint="eastAsia"/>
          <w:b/>
          <w:kern w:val="0"/>
          <w:sz w:val="28"/>
          <w:szCs w:val="28"/>
        </w:rPr>
        <w:t>康寧學校財團法人康寧大學歐洲語言學習、教學、評量共同參考架構</w:t>
      </w:r>
      <w:r w:rsidRPr="008A2300">
        <w:rPr>
          <w:rFonts w:ascii="標楷體" w:eastAsia="標楷體" w:hAnsi="標楷體"/>
          <w:b/>
          <w:sz w:val="28"/>
          <w:szCs w:val="28"/>
        </w:rPr>
        <w:t>Common European Framework of Reference for Languages</w:t>
      </w:r>
      <w:r w:rsidRPr="008A2300">
        <w:rPr>
          <w:rFonts w:ascii="標楷體" w:eastAsia="標楷體" w:hAnsi="標楷體" w:cs="DFKaiShu-SB-Estd-BF"/>
          <w:b/>
          <w:kern w:val="0"/>
          <w:sz w:val="28"/>
          <w:szCs w:val="28"/>
        </w:rPr>
        <w:t xml:space="preserve"> (CEF)</w:t>
      </w:r>
      <w:r w:rsidRPr="008A2300">
        <w:rPr>
          <w:rFonts w:ascii="標楷體" w:eastAsia="標楷體" w:hAnsi="標楷體" w:cs="DFKaiShu-SB-Estd-BF" w:hint="eastAsia"/>
          <w:b/>
          <w:kern w:val="0"/>
          <w:sz w:val="28"/>
          <w:szCs w:val="28"/>
        </w:rPr>
        <w:t>與教育部認列之語言證照種類對照表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720"/>
        <w:gridCol w:w="720"/>
        <w:gridCol w:w="1080"/>
        <w:gridCol w:w="1260"/>
        <w:gridCol w:w="1260"/>
        <w:gridCol w:w="1220"/>
      </w:tblGrid>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DFKaiShu-SB-Estd-BF"/>
                <w:kern w:val="0"/>
              </w:rPr>
            </w:pPr>
            <w:r w:rsidRPr="008A2300">
              <w:rPr>
                <w:rFonts w:ascii="標楷體" w:eastAsia="標楷體" w:hAnsi="標楷體" w:cs="DFKaiShu-SB-Estd-BF" w:hint="eastAsia"/>
                <w:kern w:val="0"/>
              </w:rPr>
              <w:t>歐洲語言學習、教學、評量共同參考架構</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DFKaiShu-SB-Estd-BF"/>
                <w:b/>
                <w:kern w:val="0"/>
              </w:rPr>
              <w:t>(CEF)</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全民英檢</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(GEPT)</w:t>
            </w:r>
          </w:p>
        </w:tc>
        <w:tc>
          <w:tcPr>
            <w:tcW w:w="1440" w:type="dxa"/>
            <w:gridSpan w:val="2"/>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托福</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b/>
                <w:kern w:val="0"/>
              </w:rPr>
              <w:t>(TOEFL)</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國際英語語文測驗</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(IELTS)</w:t>
            </w:r>
          </w:p>
        </w:tc>
        <w:tc>
          <w:tcPr>
            <w:tcW w:w="1260" w:type="dxa"/>
          </w:tcPr>
          <w:p w:rsidR="00622BEF" w:rsidRPr="008A2300" w:rsidRDefault="00622BEF" w:rsidP="0048219C">
            <w:pPr>
              <w:autoSpaceDE w:val="0"/>
              <w:autoSpaceDN w:val="0"/>
              <w:rPr>
                <w:rFonts w:ascii="標楷體" w:eastAsia="標楷體" w:hAnsi="標楷體" w:cs="新細明體"/>
                <w:kern w:val="0"/>
              </w:rPr>
            </w:pPr>
            <w:proofErr w:type="gramStart"/>
            <w:r w:rsidRPr="008A2300">
              <w:rPr>
                <w:rFonts w:ascii="標楷體" w:eastAsia="標楷體" w:hAnsi="標楷體" w:cs="新細明體" w:hint="eastAsia"/>
                <w:kern w:val="0"/>
              </w:rPr>
              <w:t>新版多益測驗</w:t>
            </w:r>
            <w:proofErr w:type="gramEnd"/>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(New TOEIC)</w:t>
            </w:r>
          </w:p>
        </w:tc>
        <w:tc>
          <w:tcPr>
            <w:tcW w:w="1260" w:type="dxa"/>
          </w:tcPr>
          <w:p w:rsidR="00622BEF" w:rsidRPr="008A2300" w:rsidRDefault="00622BEF" w:rsidP="0048219C">
            <w:pPr>
              <w:autoSpaceDE w:val="0"/>
              <w:autoSpaceDN w:val="0"/>
              <w:rPr>
                <w:rFonts w:ascii="標楷體" w:eastAsia="標楷體" w:hAnsi="標楷體" w:cs="新細明體"/>
                <w:kern w:val="0"/>
              </w:rPr>
            </w:pPr>
            <w:proofErr w:type="gramStart"/>
            <w:r w:rsidRPr="008A2300">
              <w:rPr>
                <w:rFonts w:ascii="標楷體" w:eastAsia="標楷體" w:hAnsi="標楷體" w:cs="新細明體" w:hint="eastAsia"/>
                <w:kern w:val="0"/>
              </w:rPr>
              <w:t>多益普</w:t>
            </w:r>
            <w:proofErr w:type="gramEnd"/>
            <w:r w:rsidRPr="008A2300">
              <w:rPr>
                <w:rFonts w:ascii="標楷體" w:eastAsia="標楷體" w:hAnsi="標楷體" w:cs="新細明體" w:hint="eastAsia"/>
                <w:kern w:val="0"/>
              </w:rPr>
              <w:t>級測驗</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(TOEIC Bridge)</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大學校院英語能力測驗</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(CSEPT)</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p>
        </w:tc>
        <w:tc>
          <w:tcPr>
            <w:tcW w:w="1080" w:type="dxa"/>
          </w:tcPr>
          <w:p w:rsidR="00622BEF" w:rsidRPr="008A2300" w:rsidRDefault="00622BEF" w:rsidP="0048219C">
            <w:pPr>
              <w:autoSpaceDE w:val="0"/>
              <w:autoSpaceDN w:val="0"/>
              <w:rPr>
                <w:rFonts w:ascii="標楷體" w:eastAsia="標楷體" w:hAnsi="標楷體" w:cs="新細明體"/>
                <w:kern w:val="0"/>
              </w:rPr>
            </w:pP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紙筆測驗</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電腦測驗</w:t>
            </w:r>
          </w:p>
        </w:tc>
        <w:tc>
          <w:tcPr>
            <w:tcW w:w="1080" w:type="dxa"/>
          </w:tcPr>
          <w:p w:rsidR="00622BEF" w:rsidRPr="008A2300" w:rsidRDefault="00622BEF" w:rsidP="0048219C">
            <w:pPr>
              <w:autoSpaceDE w:val="0"/>
              <w:autoSpaceDN w:val="0"/>
              <w:rPr>
                <w:rFonts w:ascii="標楷體" w:eastAsia="標楷體" w:hAnsi="標楷體" w:cs="新細明體"/>
                <w:kern w:val="0"/>
              </w:rPr>
            </w:pPr>
          </w:p>
        </w:tc>
        <w:tc>
          <w:tcPr>
            <w:tcW w:w="1260" w:type="dxa"/>
          </w:tcPr>
          <w:p w:rsidR="00622BEF" w:rsidRPr="008A2300" w:rsidRDefault="00622BEF" w:rsidP="0048219C">
            <w:pPr>
              <w:autoSpaceDE w:val="0"/>
              <w:autoSpaceDN w:val="0"/>
              <w:rPr>
                <w:rFonts w:ascii="標楷體" w:eastAsia="標楷體" w:hAnsi="標楷體" w:cs="新細明體"/>
                <w:kern w:val="0"/>
              </w:rPr>
            </w:pPr>
          </w:p>
        </w:tc>
        <w:tc>
          <w:tcPr>
            <w:tcW w:w="1260" w:type="dxa"/>
          </w:tcPr>
          <w:p w:rsidR="00622BEF" w:rsidRPr="008A2300" w:rsidRDefault="00622BEF" w:rsidP="0048219C">
            <w:pPr>
              <w:autoSpaceDE w:val="0"/>
              <w:autoSpaceDN w:val="0"/>
              <w:rPr>
                <w:rFonts w:ascii="標楷體" w:eastAsia="標楷體" w:hAnsi="標楷體" w:cs="新細明體"/>
                <w:kern w:val="0"/>
              </w:rPr>
            </w:pP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第一級</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A2(</w:t>
            </w:r>
            <w:r w:rsidRPr="008A2300">
              <w:rPr>
                <w:rFonts w:ascii="標楷體" w:eastAsia="標楷體" w:hAnsi="標楷體" w:cs="新細明體" w:hint="eastAsia"/>
                <w:kern w:val="0"/>
              </w:rPr>
              <w:t>基礎級</w:t>
            </w:r>
            <w:r w:rsidRPr="008A2300">
              <w:rPr>
                <w:rFonts w:ascii="標楷體" w:eastAsia="標楷體" w:hAnsi="標楷體" w:cs="新細明體"/>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初級</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390</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90</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3</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225</w:t>
            </w:r>
            <w:r w:rsidRPr="008A2300">
              <w:rPr>
                <w:rFonts w:ascii="標楷體" w:eastAsia="標楷體" w:hAnsi="標楷體" w:cs="新細明體" w:hint="eastAsia"/>
                <w:kern w:val="0"/>
              </w:rPr>
              <w:t>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134</w:t>
            </w:r>
            <w:r w:rsidRPr="008A2300">
              <w:rPr>
                <w:rFonts w:ascii="標楷體" w:eastAsia="標楷體" w:hAnsi="標楷體" w:cs="新細明體" w:hint="eastAsia"/>
                <w:kern w:val="0"/>
              </w:rPr>
              <w:t>以上</w:t>
            </w:r>
            <w:r w:rsidRPr="008A2300">
              <w:rPr>
                <w:rFonts w:ascii="標楷體" w:eastAsia="標楷體" w:hAnsi="標楷體" w:cs="新細明體"/>
                <w:kern w:val="0"/>
              </w:rPr>
              <w:t>(</w:t>
            </w:r>
            <w:r w:rsidRPr="008A2300">
              <w:rPr>
                <w:rFonts w:ascii="標楷體" w:eastAsia="標楷體" w:hAnsi="標楷體" w:cs="新細明體" w:hint="eastAsia"/>
                <w:kern w:val="0"/>
              </w:rPr>
              <w:t>聽力須達</w:t>
            </w:r>
            <w:r w:rsidRPr="008A2300">
              <w:rPr>
                <w:rFonts w:ascii="標楷體" w:eastAsia="標楷體" w:hAnsi="標楷體" w:cs="新細明體"/>
                <w:kern w:val="0"/>
              </w:rPr>
              <w:t>64;</w:t>
            </w:r>
            <w:r w:rsidRPr="008A2300">
              <w:rPr>
                <w:rFonts w:ascii="標楷體" w:eastAsia="標楷體" w:hAnsi="標楷體" w:cs="新細明體" w:hint="eastAsia"/>
                <w:kern w:val="0"/>
              </w:rPr>
              <w:t>閱讀須達</w:t>
            </w:r>
            <w:r w:rsidRPr="008A2300">
              <w:rPr>
                <w:rFonts w:ascii="標楷體" w:eastAsia="標楷體" w:hAnsi="標楷體" w:cs="新細明體"/>
                <w:kern w:val="0"/>
              </w:rPr>
              <w:t>70)</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170</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Arial"/>
                <w:kern w:val="0"/>
              </w:rPr>
            </w:pPr>
            <w:r w:rsidRPr="008A2300">
              <w:rPr>
                <w:rFonts w:ascii="標楷體" w:eastAsia="標楷體" w:hAnsi="標楷體" w:cs="Arial"/>
                <w:kern w:val="0"/>
              </w:rPr>
              <w:t>B1(</w:t>
            </w:r>
            <w:r w:rsidRPr="008A2300">
              <w:rPr>
                <w:rFonts w:ascii="標楷體" w:eastAsia="標楷體" w:hAnsi="標楷體" w:cs="新細明體" w:hint="eastAsia"/>
                <w:kern w:val="0"/>
              </w:rPr>
              <w:t>進階級</w:t>
            </w:r>
            <w:r w:rsidRPr="008A2300">
              <w:rPr>
                <w:rFonts w:ascii="標楷體" w:eastAsia="標楷體" w:hAnsi="標楷體" w:cs="Arial"/>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中級</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457</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137</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4</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Arial"/>
                <w:kern w:val="0"/>
              </w:rPr>
            </w:pPr>
            <w:r w:rsidRPr="008A2300">
              <w:rPr>
                <w:rFonts w:ascii="標楷體" w:eastAsia="標楷體" w:hAnsi="標楷體" w:cs="Arial"/>
                <w:kern w:val="0"/>
              </w:rPr>
              <w:t>550</w:t>
            </w:r>
            <w:r w:rsidRPr="008A2300">
              <w:rPr>
                <w:rFonts w:ascii="標楷體" w:eastAsia="標楷體" w:hAnsi="標楷體" w:cs="Arial" w:hint="eastAsia"/>
                <w:kern w:val="0"/>
              </w:rPr>
              <w:t>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170</w:t>
            </w:r>
            <w:r w:rsidRPr="008A2300">
              <w:rPr>
                <w:rFonts w:ascii="標楷體" w:eastAsia="標楷體" w:hAnsi="標楷體" w:cs="新細明體" w:hint="eastAsia"/>
                <w:kern w:val="0"/>
              </w:rPr>
              <w:t>以上</w:t>
            </w:r>
            <w:r w:rsidRPr="008A2300">
              <w:rPr>
                <w:rFonts w:ascii="標楷體" w:eastAsia="標楷體" w:hAnsi="標楷體" w:cs="新細明體"/>
                <w:kern w:val="0"/>
              </w:rPr>
              <w:t>(</w:t>
            </w:r>
            <w:r w:rsidRPr="008A2300">
              <w:rPr>
                <w:rFonts w:ascii="標楷體" w:eastAsia="標楷體" w:hAnsi="標楷體" w:cs="新細明體" w:hint="eastAsia"/>
                <w:kern w:val="0"/>
              </w:rPr>
              <w:t>聽力須達</w:t>
            </w:r>
            <w:r w:rsidRPr="008A2300">
              <w:rPr>
                <w:rFonts w:ascii="標楷體" w:eastAsia="標楷體" w:hAnsi="標楷體" w:cs="新細明體"/>
                <w:kern w:val="0"/>
              </w:rPr>
              <w:t>84;</w:t>
            </w:r>
            <w:r w:rsidRPr="008A2300">
              <w:rPr>
                <w:rFonts w:ascii="標楷體" w:eastAsia="標楷體" w:hAnsi="標楷體" w:cs="新細明體" w:hint="eastAsia"/>
                <w:kern w:val="0"/>
              </w:rPr>
              <w:t>閱讀須達</w:t>
            </w:r>
            <w:r w:rsidRPr="008A2300">
              <w:rPr>
                <w:rFonts w:ascii="標楷體" w:eastAsia="標楷體" w:hAnsi="標楷體" w:cs="新細明體"/>
                <w:kern w:val="0"/>
              </w:rPr>
              <w:t>86)</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230</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kern w:val="0"/>
              </w:rPr>
              <w:t>B2(</w:t>
            </w:r>
            <w:r w:rsidRPr="008A2300">
              <w:rPr>
                <w:rFonts w:ascii="標楷體" w:eastAsia="標楷體" w:hAnsi="標楷體" w:cs="新細明體" w:hint="eastAsia"/>
                <w:kern w:val="0"/>
              </w:rPr>
              <w:t>高階級</w:t>
            </w:r>
            <w:r w:rsidRPr="008A2300">
              <w:rPr>
                <w:rFonts w:ascii="標楷體" w:eastAsia="標楷體" w:hAnsi="標楷體" w:cs="Arial"/>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中高級</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527</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197</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5.5</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Arial"/>
                <w:kern w:val="0"/>
              </w:rPr>
            </w:pPr>
            <w:r w:rsidRPr="008A2300">
              <w:rPr>
                <w:rFonts w:ascii="標楷體" w:eastAsia="標楷體" w:hAnsi="標楷體" w:cs="Arial"/>
                <w:kern w:val="0"/>
              </w:rPr>
              <w:t>785</w:t>
            </w:r>
            <w:r w:rsidRPr="008A2300">
              <w:rPr>
                <w:rFonts w:ascii="標楷體" w:eastAsia="標楷體" w:hAnsi="標楷體" w:cs="Arial" w:hint="eastAsia"/>
                <w:kern w:val="0"/>
              </w:rPr>
              <w:t>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kern w:val="0"/>
              </w:rPr>
              <w:t>C1(</w:t>
            </w:r>
            <w:r w:rsidRPr="008A2300">
              <w:rPr>
                <w:rFonts w:ascii="標楷體" w:eastAsia="標楷體" w:hAnsi="標楷體" w:cs="新細明體" w:hint="eastAsia"/>
                <w:kern w:val="0"/>
              </w:rPr>
              <w:t>流利級</w:t>
            </w:r>
            <w:r w:rsidRPr="008A2300">
              <w:rPr>
                <w:rFonts w:ascii="標楷體" w:eastAsia="標楷體" w:hAnsi="標楷體" w:cs="Arial"/>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高級</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560</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220</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6.5</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kern w:val="0"/>
              </w:rPr>
              <w:t>945</w:t>
            </w:r>
            <w:r w:rsidRPr="008A2300">
              <w:rPr>
                <w:rFonts w:ascii="標楷體" w:eastAsia="標楷體" w:hAnsi="標楷體" w:cs="Arial" w:hint="eastAsia"/>
                <w:kern w:val="0"/>
              </w:rPr>
              <w:t>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kern w:val="0"/>
              </w:rPr>
              <w:t>C2(</w:t>
            </w:r>
            <w:r w:rsidRPr="008A2300">
              <w:rPr>
                <w:rFonts w:ascii="標楷體" w:eastAsia="標楷體" w:hAnsi="標楷體" w:cs="新細明體" w:hint="eastAsia"/>
                <w:kern w:val="0"/>
              </w:rPr>
              <w:t>精通級</w:t>
            </w:r>
            <w:r w:rsidRPr="008A2300">
              <w:rPr>
                <w:rFonts w:ascii="標楷體" w:eastAsia="標楷體" w:hAnsi="標楷體" w:cs="Arial"/>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proofErr w:type="gramStart"/>
            <w:r w:rsidRPr="008A2300">
              <w:rPr>
                <w:rFonts w:ascii="標楷體" w:eastAsia="標楷體" w:hAnsi="標楷體" w:cs="新細明體" w:hint="eastAsia"/>
                <w:kern w:val="0"/>
              </w:rPr>
              <w:t>優級</w:t>
            </w:r>
            <w:proofErr w:type="gramEnd"/>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630</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267</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7.5</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c>
          <w:tcPr>
            <w:tcW w:w="1260" w:type="dxa"/>
          </w:tcPr>
          <w:p w:rsidR="00622BEF" w:rsidRPr="008A2300" w:rsidRDefault="00622BEF" w:rsidP="0048219C">
            <w:pPr>
              <w:autoSpaceDE w:val="0"/>
              <w:autoSpaceDN w:val="0"/>
              <w:rPr>
                <w:rFonts w:ascii="標楷體" w:eastAsia="標楷體" w:hAnsi="標楷體" w:cs="新細明體"/>
                <w:kern w:val="0"/>
              </w:rPr>
            </w:pP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r>
    </w:tbl>
    <w:p w:rsidR="00622BEF" w:rsidRPr="008A2300" w:rsidRDefault="00622BEF" w:rsidP="0048219C">
      <w:pPr>
        <w:widowControl/>
        <w:spacing w:before="45" w:after="45"/>
        <w:rPr>
          <w:rFonts w:ascii="標楷體" w:eastAsia="標楷體" w:hAnsi="標楷體" w:cs="新細明體"/>
          <w:kern w:val="0"/>
          <w:sz w:val="20"/>
          <w:szCs w:val="20"/>
        </w:rPr>
      </w:pPr>
      <w:r w:rsidRPr="008A2300">
        <w:rPr>
          <w:rFonts w:ascii="標楷體" w:eastAsia="標楷體" w:hAnsi="標楷體" w:cs="新細明體" w:hint="eastAsia"/>
          <w:kern w:val="0"/>
          <w:sz w:val="20"/>
          <w:szCs w:val="20"/>
        </w:rPr>
        <w:t>附註</w:t>
      </w:r>
      <w:r w:rsidRPr="008A2300">
        <w:rPr>
          <w:rFonts w:ascii="標楷體" w:eastAsia="標楷體" w:hAnsi="標楷體" w:cs="新細明體"/>
          <w:kern w:val="0"/>
          <w:sz w:val="20"/>
          <w:szCs w:val="20"/>
        </w:rPr>
        <w:t xml:space="preserve">: </w:t>
      </w:r>
      <w:r w:rsidRPr="008A2300">
        <w:rPr>
          <w:rFonts w:ascii="標楷體" w:eastAsia="標楷體" w:hAnsi="標楷體" w:cs="新細明體" w:hint="eastAsia"/>
          <w:kern w:val="0"/>
          <w:sz w:val="20"/>
          <w:szCs w:val="20"/>
        </w:rPr>
        <w:t>其他</w:t>
      </w:r>
      <w:proofErr w:type="gramStart"/>
      <w:r w:rsidRPr="008A2300">
        <w:rPr>
          <w:rFonts w:ascii="標楷體" w:eastAsia="標楷體" w:hAnsi="標楷體" w:cs="新細明體" w:hint="eastAsia"/>
          <w:kern w:val="0"/>
          <w:sz w:val="20"/>
          <w:szCs w:val="20"/>
        </w:rPr>
        <w:t>未盡列之</w:t>
      </w:r>
      <w:proofErr w:type="gramEnd"/>
      <w:r w:rsidRPr="008A2300">
        <w:rPr>
          <w:rFonts w:ascii="標楷體" w:eastAsia="標楷體" w:hAnsi="標楷體" w:cs="新細明體" w:hint="eastAsia"/>
          <w:kern w:val="0"/>
          <w:sz w:val="20"/>
          <w:szCs w:val="20"/>
        </w:rPr>
        <w:t>教育部認證英語能力證照對照，可參照教育部相關資料，由本校語言中心認定之。</w:t>
      </w:r>
    </w:p>
    <w:p w:rsidR="00622BEF" w:rsidRPr="008A2300" w:rsidRDefault="00622BEF" w:rsidP="0048219C">
      <w:pPr>
        <w:rPr>
          <w:rFonts w:ascii="標楷體" w:eastAsia="標楷體" w:hAnsi="標楷體"/>
        </w:rPr>
      </w:pPr>
    </w:p>
    <w:sectPr w:rsidR="00622BEF" w:rsidRPr="008A2300" w:rsidSect="009E5E5D">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BEF" w:rsidRDefault="00622BEF" w:rsidP="00116C34">
      <w:r>
        <w:separator/>
      </w:r>
    </w:p>
  </w:endnote>
  <w:endnote w:type="continuationSeparator" w:id="1">
    <w:p w:rsidR="00622BEF" w:rsidRDefault="00622BEF"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BEF" w:rsidRDefault="00622BEF" w:rsidP="00116C34">
      <w:r>
        <w:separator/>
      </w:r>
    </w:p>
  </w:footnote>
  <w:footnote w:type="continuationSeparator" w:id="1">
    <w:p w:rsidR="00622BEF" w:rsidRDefault="00622BEF"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6">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17">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2">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0">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4">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6">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37">
    <w:nsid w:val="7A2D6A2C"/>
    <w:multiLevelType w:val="hybridMultilevel"/>
    <w:tmpl w:val="A68A7116"/>
    <w:lvl w:ilvl="0" w:tplc="E0F804FC">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12"/>
  </w:num>
  <w:num w:numId="3">
    <w:abstractNumId w:val="14"/>
  </w:num>
  <w:num w:numId="4">
    <w:abstractNumId w:val="19"/>
  </w:num>
  <w:num w:numId="5">
    <w:abstractNumId w:val="25"/>
  </w:num>
  <w:num w:numId="6">
    <w:abstractNumId w:val="31"/>
  </w:num>
  <w:num w:numId="7">
    <w:abstractNumId w:val="20"/>
  </w:num>
  <w:num w:numId="8">
    <w:abstractNumId w:val="39"/>
  </w:num>
  <w:num w:numId="9">
    <w:abstractNumId w:val="27"/>
  </w:num>
  <w:num w:numId="10">
    <w:abstractNumId w:val="5"/>
  </w:num>
  <w:num w:numId="11">
    <w:abstractNumId w:val="17"/>
  </w:num>
  <w:num w:numId="12">
    <w:abstractNumId w:val="36"/>
  </w:num>
  <w:num w:numId="13">
    <w:abstractNumId w:val="8"/>
  </w:num>
  <w:num w:numId="14">
    <w:abstractNumId w:val="29"/>
  </w:num>
  <w:num w:numId="15">
    <w:abstractNumId w:val="33"/>
  </w:num>
  <w:num w:numId="16">
    <w:abstractNumId w:val="18"/>
  </w:num>
  <w:num w:numId="17">
    <w:abstractNumId w:val="26"/>
  </w:num>
  <w:num w:numId="18">
    <w:abstractNumId w:val="13"/>
  </w:num>
  <w:num w:numId="19">
    <w:abstractNumId w:val="3"/>
  </w:num>
  <w:num w:numId="20">
    <w:abstractNumId w:val="9"/>
  </w:num>
  <w:num w:numId="21">
    <w:abstractNumId w:val="10"/>
  </w:num>
  <w:num w:numId="22">
    <w:abstractNumId w:val="21"/>
  </w:num>
  <w:num w:numId="23">
    <w:abstractNumId w:val="38"/>
  </w:num>
  <w:num w:numId="24">
    <w:abstractNumId w:val="23"/>
  </w:num>
  <w:num w:numId="25">
    <w:abstractNumId w:val="11"/>
  </w:num>
  <w:num w:numId="26">
    <w:abstractNumId w:val="30"/>
  </w:num>
  <w:num w:numId="27">
    <w:abstractNumId w:val="15"/>
  </w:num>
  <w:num w:numId="28">
    <w:abstractNumId w:val="28"/>
  </w:num>
  <w:num w:numId="29">
    <w:abstractNumId w:val="16"/>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4"/>
  </w:num>
  <w:num w:numId="31">
    <w:abstractNumId w:val="6"/>
  </w:num>
  <w:num w:numId="32">
    <w:abstractNumId w:val="22"/>
  </w:num>
  <w:num w:numId="33">
    <w:abstractNumId w:val="32"/>
  </w:num>
  <w:num w:numId="34">
    <w:abstractNumId w:val="35"/>
  </w:num>
  <w:num w:numId="35">
    <w:abstractNumId w:val="1"/>
  </w:num>
  <w:num w:numId="36">
    <w:abstractNumId w:val="34"/>
  </w:num>
  <w:num w:numId="37">
    <w:abstractNumId w:val="0"/>
  </w:num>
  <w:num w:numId="38">
    <w:abstractNumId w:val="4"/>
  </w:num>
  <w:num w:numId="39">
    <w:abstractNumId w:val="7"/>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6893"/>
    <w:rsid w:val="00030FFF"/>
    <w:rsid w:val="0003645A"/>
    <w:rsid w:val="00063D3B"/>
    <w:rsid w:val="0006541F"/>
    <w:rsid w:val="00080E9C"/>
    <w:rsid w:val="0008550C"/>
    <w:rsid w:val="00095932"/>
    <w:rsid w:val="000C55E1"/>
    <w:rsid w:val="000D6270"/>
    <w:rsid w:val="000F0A93"/>
    <w:rsid w:val="000F25C6"/>
    <w:rsid w:val="00116C34"/>
    <w:rsid w:val="00141B7F"/>
    <w:rsid w:val="0015335B"/>
    <w:rsid w:val="0015355A"/>
    <w:rsid w:val="00165019"/>
    <w:rsid w:val="001657AD"/>
    <w:rsid w:val="001718B3"/>
    <w:rsid w:val="00182C71"/>
    <w:rsid w:val="00184D6D"/>
    <w:rsid w:val="0019761D"/>
    <w:rsid w:val="001A0ED1"/>
    <w:rsid w:val="001A70E3"/>
    <w:rsid w:val="001E1FD4"/>
    <w:rsid w:val="0020273A"/>
    <w:rsid w:val="002104E6"/>
    <w:rsid w:val="00210618"/>
    <w:rsid w:val="002176C6"/>
    <w:rsid w:val="0022321E"/>
    <w:rsid w:val="00225E16"/>
    <w:rsid w:val="002310B0"/>
    <w:rsid w:val="002360AB"/>
    <w:rsid w:val="00253487"/>
    <w:rsid w:val="00262592"/>
    <w:rsid w:val="00266254"/>
    <w:rsid w:val="00275039"/>
    <w:rsid w:val="0028319A"/>
    <w:rsid w:val="00295C85"/>
    <w:rsid w:val="002B0069"/>
    <w:rsid w:val="002B7953"/>
    <w:rsid w:val="002D1FAE"/>
    <w:rsid w:val="002D47DC"/>
    <w:rsid w:val="00302866"/>
    <w:rsid w:val="003029F4"/>
    <w:rsid w:val="00310DED"/>
    <w:rsid w:val="00313DD2"/>
    <w:rsid w:val="00315199"/>
    <w:rsid w:val="00315DF5"/>
    <w:rsid w:val="003277D5"/>
    <w:rsid w:val="0033125E"/>
    <w:rsid w:val="00336E0E"/>
    <w:rsid w:val="00344D63"/>
    <w:rsid w:val="003510E5"/>
    <w:rsid w:val="00364343"/>
    <w:rsid w:val="00394FE3"/>
    <w:rsid w:val="003A6DA2"/>
    <w:rsid w:val="003C4C3E"/>
    <w:rsid w:val="003D75A6"/>
    <w:rsid w:val="003E2F1E"/>
    <w:rsid w:val="003F4837"/>
    <w:rsid w:val="004035C9"/>
    <w:rsid w:val="00446C41"/>
    <w:rsid w:val="00454D35"/>
    <w:rsid w:val="00461850"/>
    <w:rsid w:val="00477F1D"/>
    <w:rsid w:val="0048219C"/>
    <w:rsid w:val="00497F2B"/>
    <w:rsid w:val="004A12AB"/>
    <w:rsid w:val="004C0C2E"/>
    <w:rsid w:val="004C3EF4"/>
    <w:rsid w:val="004D2ACE"/>
    <w:rsid w:val="004E7A64"/>
    <w:rsid w:val="004F60DE"/>
    <w:rsid w:val="005243BF"/>
    <w:rsid w:val="00525BAD"/>
    <w:rsid w:val="0052746E"/>
    <w:rsid w:val="00537D5A"/>
    <w:rsid w:val="00541FBB"/>
    <w:rsid w:val="00574977"/>
    <w:rsid w:val="00575528"/>
    <w:rsid w:val="00584A4F"/>
    <w:rsid w:val="00591D1A"/>
    <w:rsid w:val="00592C6C"/>
    <w:rsid w:val="005A26B5"/>
    <w:rsid w:val="005A2BFB"/>
    <w:rsid w:val="005B6617"/>
    <w:rsid w:val="005C71F0"/>
    <w:rsid w:val="005E043D"/>
    <w:rsid w:val="0061402D"/>
    <w:rsid w:val="00615A64"/>
    <w:rsid w:val="00622BEF"/>
    <w:rsid w:val="006337A7"/>
    <w:rsid w:val="006345AF"/>
    <w:rsid w:val="00676429"/>
    <w:rsid w:val="00697BE9"/>
    <w:rsid w:val="006A1AE6"/>
    <w:rsid w:val="006A764D"/>
    <w:rsid w:val="006C30EC"/>
    <w:rsid w:val="006C6B03"/>
    <w:rsid w:val="007160F2"/>
    <w:rsid w:val="00722E26"/>
    <w:rsid w:val="007249ED"/>
    <w:rsid w:val="0073088A"/>
    <w:rsid w:val="00757CA7"/>
    <w:rsid w:val="007613C4"/>
    <w:rsid w:val="007742FC"/>
    <w:rsid w:val="007978D4"/>
    <w:rsid w:val="007A1DEB"/>
    <w:rsid w:val="007B7014"/>
    <w:rsid w:val="007C05CC"/>
    <w:rsid w:val="007C682A"/>
    <w:rsid w:val="007D1F3F"/>
    <w:rsid w:val="007D478B"/>
    <w:rsid w:val="007F1027"/>
    <w:rsid w:val="008018D1"/>
    <w:rsid w:val="00824F1F"/>
    <w:rsid w:val="008254AC"/>
    <w:rsid w:val="00851D26"/>
    <w:rsid w:val="00854076"/>
    <w:rsid w:val="008570F0"/>
    <w:rsid w:val="00861876"/>
    <w:rsid w:val="00864BEA"/>
    <w:rsid w:val="008715D2"/>
    <w:rsid w:val="00872B7D"/>
    <w:rsid w:val="00873451"/>
    <w:rsid w:val="00885E2C"/>
    <w:rsid w:val="00890450"/>
    <w:rsid w:val="0089088E"/>
    <w:rsid w:val="0089562F"/>
    <w:rsid w:val="008A2300"/>
    <w:rsid w:val="008C6CBE"/>
    <w:rsid w:val="008D17FA"/>
    <w:rsid w:val="008E7687"/>
    <w:rsid w:val="008F09DD"/>
    <w:rsid w:val="008F4271"/>
    <w:rsid w:val="00910CDC"/>
    <w:rsid w:val="009410E7"/>
    <w:rsid w:val="00945CE6"/>
    <w:rsid w:val="00956F04"/>
    <w:rsid w:val="00982638"/>
    <w:rsid w:val="0098593E"/>
    <w:rsid w:val="009873BD"/>
    <w:rsid w:val="00987817"/>
    <w:rsid w:val="009A2143"/>
    <w:rsid w:val="009A2ED0"/>
    <w:rsid w:val="009A7486"/>
    <w:rsid w:val="009B64CB"/>
    <w:rsid w:val="009E5E5D"/>
    <w:rsid w:val="009F538D"/>
    <w:rsid w:val="00A144D1"/>
    <w:rsid w:val="00A2568E"/>
    <w:rsid w:val="00A825CB"/>
    <w:rsid w:val="00AA23E7"/>
    <w:rsid w:val="00AB3199"/>
    <w:rsid w:val="00B0478C"/>
    <w:rsid w:val="00B270A3"/>
    <w:rsid w:val="00B30F35"/>
    <w:rsid w:val="00B45307"/>
    <w:rsid w:val="00B50A32"/>
    <w:rsid w:val="00B7033C"/>
    <w:rsid w:val="00B7280B"/>
    <w:rsid w:val="00B834F3"/>
    <w:rsid w:val="00BA78B1"/>
    <w:rsid w:val="00BC7BFB"/>
    <w:rsid w:val="00BD0BE9"/>
    <w:rsid w:val="00BD1688"/>
    <w:rsid w:val="00BD542E"/>
    <w:rsid w:val="00BE2B76"/>
    <w:rsid w:val="00C125E8"/>
    <w:rsid w:val="00C27DDF"/>
    <w:rsid w:val="00C44C1E"/>
    <w:rsid w:val="00C52CB5"/>
    <w:rsid w:val="00C611F0"/>
    <w:rsid w:val="00C62C35"/>
    <w:rsid w:val="00C75434"/>
    <w:rsid w:val="00CA00F4"/>
    <w:rsid w:val="00CD5F1E"/>
    <w:rsid w:val="00CF5FC3"/>
    <w:rsid w:val="00D15B5E"/>
    <w:rsid w:val="00D32599"/>
    <w:rsid w:val="00D95963"/>
    <w:rsid w:val="00D95F69"/>
    <w:rsid w:val="00D973AB"/>
    <w:rsid w:val="00DA7C48"/>
    <w:rsid w:val="00DB2FB9"/>
    <w:rsid w:val="00DC42C3"/>
    <w:rsid w:val="00DE0566"/>
    <w:rsid w:val="00DE1B4D"/>
    <w:rsid w:val="00DF4B8D"/>
    <w:rsid w:val="00DF4FC4"/>
    <w:rsid w:val="00DF66C4"/>
    <w:rsid w:val="00E227C2"/>
    <w:rsid w:val="00E31DC1"/>
    <w:rsid w:val="00E35422"/>
    <w:rsid w:val="00E372EB"/>
    <w:rsid w:val="00E4373B"/>
    <w:rsid w:val="00E44575"/>
    <w:rsid w:val="00E526B8"/>
    <w:rsid w:val="00E5342A"/>
    <w:rsid w:val="00E568F3"/>
    <w:rsid w:val="00E6284B"/>
    <w:rsid w:val="00E62F75"/>
    <w:rsid w:val="00E65B22"/>
    <w:rsid w:val="00E923F1"/>
    <w:rsid w:val="00EB60DF"/>
    <w:rsid w:val="00EB76A7"/>
    <w:rsid w:val="00EC258A"/>
    <w:rsid w:val="00ED5F09"/>
    <w:rsid w:val="00ED6C89"/>
    <w:rsid w:val="00EE6B86"/>
    <w:rsid w:val="00EF5659"/>
    <w:rsid w:val="00F011FE"/>
    <w:rsid w:val="00F024EB"/>
    <w:rsid w:val="00F1556C"/>
    <w:rsid w:val="00F229A2"/>
    <w:rsid w:val="00F23840"/>
    <w:rsid w:val="00F26840"/>
    <w:rsid w:val="00F55BE2"/>
    <w:rsid w:val="00F56E92"/>
    <w:rsid w:val="00F632F5"/>
    <w:rsid w:val="00F81860"/>
    <w:rsid w:val="00F86B76"/>
    <w:rsid w:val="00F910C2"/>
    <w:rsid w:val="00FA231A"/>
    <w:rsid w:val="00FB5322"/>
    <w:rsid w:val="00FB59DF"/>
    <w:rsid w:val="00FC78BE"/>
    <w:rsid w:val="00FE00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B7033C"/>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913</Words>
  <Characters>431</Characters>
  <Application>Microsoft Office Word</Application>
  <DocSecurity>0</DocSecurity>
  <Lines>3</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ukn</cp:lastModifiedBy>
  <cp:revision>28</cp:revision>
  <cp:lastPrinted>2014-09-22T08:41:00Z</cp:lastPrinted>
  <dcterms:created xsi:type="dcterms:W3CDTF">2014-10-29T03:05:00Z</dcterms:created>
  <dcterms:modified xsi:type="dcterms:W3CDTF">2016-01-06T05:30:00Z</dcterms:modified>
</cp:coreProperties>
</file>